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D81D4F" w:rsidRDefault="001165CC" w:rsidP="00AE4748">
      <w:pPr>
        <w:ind w:firstLine="5670"/>
        <w:rPr>
          <w:lang w:val="uk-UA"/>
        </w:rPr>
      </w:pPr>
      <w:r w:rsidRPr="00D81D4F">
        <w:rPr>
          <w:lang w:val="uk-UA"/>
        </w:rPr>
        <w:t>ЗАТВЕРДЖЕНО</w:t>
      </w:r>
    </w:p>
    <w:p w:rsidR="001165CC" w:rsidRPr="00D81D4F" w:rsidRDefault="001165CC" w:rsidP="00AE4748">
      <w:pPr>
        <w:ind w:firstLine="5670"/>
        <w:rPr>
          <w:lang w:val="uk-UA"/>
        </w:rPr>
      </w:pPr>
      <w:r w:rsidRPr="00D81D4F">
        <w:rPr>
          <w:lang w:val="uk-UA"/>
        </w:rPr>
        <w:t>Наказ Головного управління</w:t>
      </w:r>
    </w:p>
    <w:p w:rsidR="001165CC" w:rsidRPr="00D81D4F" w:rsidRDefault="001165CC" w:rsidP="00AE4748">
      <w:pPr>
        <w:ind w:firstLine="5670"/>
        <w:rPr>
          <w:lang w:val="uk-UA"/>
        </w:rPr>
      </w:pPr>
      <w:r w:rsidRPr="00D81D4F">
        <w:rPr>
          <w:lang w:val="uk-UA"/>
        </w:rPr>
        <w:t>Держпродспоживслужби</w:t>
      </w:r>
    </w:p>
    <w:p w:rsidR="001165CC" w:rsidRPr="00D81D4F" w:rsidRDefault="001165CC" w:rsidP="00AE4748">
      <w:pPr>
        <w:ind w:firstLine="5670"/>
        <w:rPr>
          <w:lang w:val="uk-UA"/>
        </w:rPr>
      </w:pPr>
      <w:r w:rsidRPr="00D81D4F">
        <w:rPr>
          <w:lang w:val="uk-UA"/>
        </w:rPr>
        <w:t xml:space="preserve">у Волинській області </w:t>
      </w:r>
    </w:p>
    <w:p w:rsidR="001165CC" w:rsidRPr="00D81D4F" w:rsidRDefault="001165CC" w:rsidP="00AE4748">
      <w:pPr>
        <w:ind w:firstLine="5670"/>
        <w:rPr>
          <w:lang w:val="uk-UA"/>
        </w:rPr>
      </w:pPr>
      <w:r w:rsidRPr="00D81D4F">
        <w:rPr>
          <w:lang w:val="uk-UA"/>
        </w:rPr>
        <w:t>від</w:t>
      </w:r>
      <w:r w:rsidR="00806634" w:rsidRPr="00D81D4F">
        <w:rPr>
          <w:lang w:val="uk-UA"/>
        </w:rPr>
        <w:t xml:space="preserve"> </w:t>
      </w:r>
      <w:r w:rsidR="00A31C86" w:rsidRPr="00D81D4F">
        <w:rPr>
          <w:lang w:val="uk-UA"/>
        </w:rPr>
        <w:t>1</w:t>
      </w:r>
      <w:r w:rsidR="00414E07" w:rsidRPr="00D81D4F">
        <w:rPr>
          <w:lang w:val="uk-UA"/>
        </w:rPr>
        <w:t>7</w:t>
      </w:r>
      <w:r w:rsidR="00187923" w:rsidRPr="00D81D4F">
        <w:rPr>
          <w:lang w:val="uk-UA"/>
        </w:rPr>
        <w:t xml:space="preserve"> травня</w:t>
      </w:r>
      <w:r w:rsidR="000B4CCB" w:rsidRPr="00D81D4F">
        <w:rPr>
          <w:lang w:val="uk-UA"/>
        </w:rPr>
        <w:t xml:space="preserve"> 2021</w:t>
      </w:r>
      <w:r w:rsidRPr="00D81D4F">
        <w:rPr>
          <w:lang w:val="uk-UA"/>
        </w:rPr>
        <w:t xml:space="preserve"> року №</w:t>
      </w:r>
      <w:r w:rsidR="00C00EBE">
        <w:rPr>
          <w:lang w:val="uk-UA"/>
        </w:rPr>
        <w:t xml:space="preserve">249 </w:t>
      </w:r>
      <w:bookmarkStart w:id="0" w:name="_GoBack"/>
      <w:bookmarkEnd w:id="0"/>
      <w:r w:rsidR="002E5D44" w:rsidRPr="00D81D4F">
        <w:rPr>
          <w:lang w:val="uk-UA"/>
        </w:rPr>
        <w:t>–</w:t>
      </w:r>
      <w:r w:rsidR="00AE4748" w:rsidRPr="00D81D4F">
        <w:rPr>
          <w:lang w:val="uk-UA"/>
        </w:rPr>
        <w:t xml:space="preserve"> </w:t>
      </w:r>
      <w:r w:rsidR="002E5D44" w:rsidRPr="00D81D4F">
        <w:rPr>
          <w:lang w:val="uk-UA"/>
        </w:rPr>
        <w:t>о</w:t>
      </w:r>
      <w:r w:rsidRPr="00D81D4F">
        <w:rPr>
          <w:lang w:val="uk-UA"/>
        </w:rPr>
        <w:t>д</w:t>
      </w:r>
      <w:r w:rsidR="00BB4D7D" w:rsidRPr="00D81D4F">
        <w:rPr>
          <w:lang w:val="uk-UA"/>
        </w:rPr>
        <w:t xml:space="preserve"> </w:t>
      </w:r>
    </w:p>
    <w:p w:rsidR="00094DCC" w:rsidRPr="00D81D4F" w:rsidRDefault="00094DCC" w:rsidP="00E7199B">
      <w:pPr>
        <w:jc w:val="center"/>
        <w:rPr>
          <w:b/>
          <w:lang w:val="uk-UA"/>
        </w:rPr>
      </w:pPr>
    </w:p>
    <w:p w:rsidR="00E7199B" w:rsidRPr="00D81D4F" w:rsidRDefault="00E7199B" w:rsidP="00E7199B">
      <w:pPr>
        <w:jc w:val="center"/>
        <w:rPr>
          <w:b/>
          <w:lang w:val="uk-UA"/>
        </w:rPr>
      </w:pPr>
      <w:r w:rsidRPr="00D81D4F">
        <w:rPr>
          <w:b/>
          <w:lang w:val="uk-UA"/>
        </w:rPr>
        <w:t>УМОВИ</w:t>
      </w:r>
    </w:p>
    <w:p w:rsidR="00E7199B" w:rsidRPr="00D81D4F" w:rsidRDefault="00E7199B" w:rsidP="00E7199B">
      <w:pPr>
        <w:jc w:val="center"/>
        <w:rPr>
          <w:b/>
          <w:lang w:val="uk-UA"/>
        </w:rPr>
      </w:pPr>
      <w:r w:rsidRPr="00D81D4F">
        <w:rPr>
          <w:b/>
          <w:lang w:val="uk-UA"/>
        </w:rPr>
        <w:t>проведення конкурсу</w:t>
      </w:r>
    </w:p>
    <w:p w:rsidR="00E7199B" w:rsidRPr="00D81D4F" w:rsidRDefault="00E7199B" w:rsidP="00505310">
      <w:pPr>
        <w:jc w:val="center"/>
        <w:rPr>
          <w:b/>
          <w:lang w:val="uk-UA"/>
        </w:rPr>
      </w:pPr>
      <w:r w:rsidRPr="00D81D4F">
        <w:rPr>
          <w:b/>
          <w:lang w:val="uk-UA"/>
        </w:rPr>
        <w:t>на зайняття посади державної служби категорії «</w:t>
      </w:r>
      <w:r w:rsidR="000C4418">
        <w:rPr>
          <w:b/>
          <w:lang w:val="uk-UA"/>
        </w:rPr>
        <w:t>Б</w:t>
      </w:r>
      <w:r w:rsidRPr="00D81D4F">
        <w:rPr>
          <w:b/>
          <w:lang w:val="uk-UA"/>
        </w:rPr>
        <w:t>» –</w:t>
      </w:r>
    </w:p>
    <w:p w:rsidR="00414E07" w:rsidRPr="00D81D4F" w:rsidRDefault="00414E07" w:rsidP="00414E07">
      <w:pPr>
        <w:jc w:val="center"/>
        <w:rPr>
          <w:b/>
          <w:lang w:val="uk-UA"/>
        </w:rPr>
      </w:pPr>
      <w:r w:rsidRPr="00D81D4F">
        <w:rPr>
          <w:b/>
          <w:lang w:val="uk-UA"/>
        </w:rPr>
        <w:t xml:space="preserve">начальника відділу державного нагляду за дотриманням санітарного законодавства </w:t>
      </w:r>
      <w:proofErr w:type="spellStart"/>
      <w:r w:rsidRPr="00D81D4F">
        <w:rPr>
          <w:b/>
          <w:lang w:val="uk-UA"/>
        </w:rPr>
        <w:t>Турійського</w:t>
      </w:r>
      <w:proofErr w:type="spellEnd"/>
      <w:r w:rsidRPr="00D81D4F">
        <w:rPr>
          <w:b/>
          <w:lang w:val="uk-UA"/>
        </w:rPr>
        <w:t xml:space="preserve"> управління Головного управління Держпродспоживслужби у Волинській області</w:t>
      </w:r>
    </w:p>
    <w:p w:rsidR="003E6AF9" w:rsidRPr="00D81D4F" w:rsidRDefault="00157BE1" w:rsidP="00E7199B">
      <w:pPr>
        <w:ind w:firstLine="720"/>
        <w:jc w:val="both"/>
        <w:rPr>
          <w:b/>
          <w:lang w:val="uk-UA"/>
        </w:rPr>
      </w:pPr>
      <w:r w:rsidRPr="00D81D4F">
        <w:rPr>
          <w:b/>
          <w:lang w:val="uk-UA"/>
        </w:rPr>
        <w:t xml:space="preserve">                                                      </w:t>
      </w:r>
      <w:r w:rsidR="00E7199B" w:rsidRPr="00D81D4F">
        <w:rPr>
          <w:b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D81D4F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D81D4F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6A684D" w:rsidRPr="00D81D4F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D81D4F" w:rsidRDefault="006A684D" w:rsidP="006A684D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</w:t>
            </w:r>
            <w:r w:rsidR="00FF7886">
              <w:rPr>
                <w:lang w:val="uk-UA"/>
              </w:rPr>
              <w:t xml:space="preserve">  </w:t>
            </w:r>
            <w:r w:rsidRPr="00D81D4F">
              <w:rPr>
                <w:lang w:val="uk-UA"/>
              </w:rPr>
              <w:t>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 w:rsidRPr="00D81D4F">
              <w:rPr>
                <w:lang w:val="uk-UA"/>
              </w:rPr>
              <w:t>випромінювань</w:t>
            </w:r>
            <w:proofErr w:type="spellEnd"/>
            <w:r w:rsidRPr="00D81D4F">
              <w:rPr>
                <w:lang w:val="uk-UA"/>
              </w:rPr>
              <w:t>, та вживає заходів до їх усунення відповідно до законодавства.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Бере участь в організації проведення досліджень (випробувань) для цілей державного нагляду (контролю).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За результатами здійснення заходів державного санітарно-епідемічного нагляду, у межах повноважень, складає акти перевірок застосовує передбачені законом адміністративні та адміністративно-господарські санкції (штрафи) за порушення санітарного законодавства.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рівня, бере участь в організації та проведенні нарад, семінарів, конференцій з відповідних питань.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lastRenderedPageBreak/>
              <w:t xml:space="preserve">   Забезпечує здійснення заходів щодо запобігання корупції і контроль за їх здійсненням.</w:t>
            </w:r>
          </w:p>
          <w:p w:rsidR="006A684D" w:rsidRPr="00D81D4F" w:rsidRDefault="006A684D" w:rsidP="006A684D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  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</w:tc>
      </w:tr>
      <w:tr w:rsidR="00187923" w:rsidRPr="00D81D4F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Посадовий оклад – </w:t>
            </w:r>
            <w:r w:rsidR="006A684D" w:rsidRPr="00D81D4F">
              <w:rPr>
                <w:lang w:val="uk-UA"/>
              </w:rPr>
              <w:t>6100</w:t>
            </w:r>
            <w:r w:rsidRPr="00D81D4F">
              <w:rPr>
                <w:lang w:val="uk-UA"/>
              </w:rPr>
              <w:t xml:space="preserve"> грн.;</w:t>
            </w:r>
          </w:p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87923" w:rsidRPr="00D81D4F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A31C86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187923" w:rsidRPr="00D81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7923" w:rsidRPr="00D81D4F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D81D4F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D81D4F">
              <w:rPr>
                <w:lang w:val="uk-UA" w:eastAsia="en-US"/>
              </w:rPr>
              <w:t>щодо зайняття посади за формою згідно з </w:t>
            </w:r>
            <w:hyperlink r:id="rId6" w:anchor="n199" w:history="1">
              <w:r w:rsidRPr="00D81D4F">
                <w:rPr>
                  <w:lang w:val="uk-UA" w:eastAsia="en-US"/>
                </w:rPr>
                <w:t>додатком 2</w:t>
              </w:r>
            </w:hyperlink>
            <w:r w:rsidRPr="00D81D4F">
              <w:rPr>
                <w:rFonts w:eastAsiaTheme="minorEastAsia"/>
                <w:lang w:val="uk-UA"/>
              </w:rPr>
              <w:t xml:space="preserve"> П</w:t>
            </w:r>
            <w:r w:rsidRPr="00D81D4F">
              <w:rPr>
                <w:lang w:val="uk-UA" w:eastAsia="en-US"/>
              </w:rPr>
              <w:t>орядку проведення конкурсу на зайняття посад державної служби (за змінами) (далі – Порядок);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D81D4F">
              <w:rPr>
                <w:lang w:val="uk-UA" w:eastAsia="en-US"/>
              </w:rPr>
              <w:t>2) резюме за формою згідно з </w:t>
            </w:r>
            <w:hyperlink r:id="rId7" w:anchor="n1039" w:history="1">
              <w:r w:rsidRPr="00D81D4F">
                <w:rPr>
                  <w:lang w:val="uk-UA" w:eastAsia="en-US"/>
                </w:rPr>
                <w:t>додатком 2</w:t>
              </w:r>
            </w:hyperlink>
            <w:hyperlink r:id="rId8" w:anchor="n1039" w:history="1">
              <w:r w:rsidRPr="00D81D4F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D81D4F">
              <w:rPr>
                <w:rFonts w:eastAsiaTheme="minorEastAsia"/>
                <w:lang w:val="uk-UA"/>
              </w:rPr>
              <w:t xml:space="preserve"> </w:t>
            </w:r>
            <w:r w:rsidRPr="00D81D4F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D81D4F">
              <w:rPr>
                <w:lang w:val="uk-UA" w:eastAsia="en-US"/>
              </w:rPr>
              <w:t>- прізвище, ім’я, по батькові кандидата;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D81D4F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D81D4F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D81D4F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D81D4F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D81D4F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D81D4F">
                <w:rPr>
                  <w:lang w:val="uk-UA" w:eastAsia="en-US"/>
                </w:rPr>
                <w:t>третьою</w:t>
              </w:r>
            </w:hyperlink>
            <w:r w:rsidRPr="00D81D4F">
              <w:rPr>
                <w:lang w:val="uk-UA" w:eastAsia="en-US"/>
              </w:rPr>
              <w:t> або </w:t>
            </w:r>
            <w:hyperlink r:id="rId10" w:anchor="n14" w:tgtFrame="_blank" w:history="1">
              <w:r w:rsidRPr="00D81D4F">
                <w:rPr>
                  <w:lang w:val="uk-UA" w:eastAsia="en-US"/>
                </w:rPr>
                <w:t>четвертою</w:t>
              </w:r>
            </w:hyperlink>
            <w:r w:rsidRPr="00D81D4F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D81D4F">
              <w:rPr>
                <w:lang w:val="uk-UA" w:eastAsia="en-US"/>
              </w:rPr>
              <w:t>Подача додатків до заяви не є обов’язковою.</w:t>
            </w:r>
          </w:p>
          <w:p w:rsidR="00187923" w:rsidRPr="00D81D4F" w:rsidRDefault="00187923" w:rsidP="00187923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187923" w:rsidRPr="00D81D4F" w:rsidRDefault="00187923" w:rsidP="00187923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D81D4F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7923" w:rsidRPr="00D81D4F" w:rsidRDefault="00187923" w:rsidP="00187923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D81D4F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6A684D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  <w:lang w:eastAsia="en-US"/>
              </w:rPr>
              <w:t>Термін подання</w:t>
            </w:r>
            <w:r w:rsidR="00A31C86" w:rsidRPr="00D81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інформації: до 17 год. 15 хв. 2</w:t>
            </w:r>
            <w:r w:rsidR="006A684D" w:rsidRPr="00D81D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D81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травня                         2021 року.</w:t>
            </w:r>
          </w:p>
        </w:tc>
      </w:tr>
      <w:tr w:rsidR="00187923" w:rsidRPr="00D81D4F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87923" w:rsidRPr="00D81D4F" w:rsidRDefault="00187923" w:rsidP="00187923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D81D4F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r w:rsidRPr="00D81D4F">
              <w:rPr>
                <w:color w:val="000000"/>
                <w:lang w:val="uk-UA"/>
              </w:rPr>
              <w:lastRenderedPageBreak/>
              <w:t>компетентностей, репутації (характеристики, рекомендації, наукові публікації тощо).</w:t>
            </w:r>
          </w:p>
        </w:tc>
      </w:tr>
      <w:tr w:rsidR="00187923" w:rsidRPr="00D81D4F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lastRenderedPageBreak/>
              <w:t>Дата і час початку проведення тестування кандидатів</w:t>
            </w:r>
          </w:p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</w:p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Місце або спосіб проведення тестування.</w:t>
            </w:r>
          </w:p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D81D4F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01 червня</w:t>
            </w:r>
            <w:r w:rsidR="00187923" w:rsidRPr="00D81D4F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тестування за фізичної присутності кандидатів) 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23" w:rsidRPr="00D81D4F" w:rsidRDefault="00187923" w:rsidP="001879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187923" w:rsidRPr="00D81D4F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rPr>
                <w:b/>
                <w:color w:val="000000"/>
                <w:lang w:val="uk-UA"/>
              </w:rPr>
            </w:pPr>
            <w:r w:rsidRPr="00D81D4F">
              <w:rPr>
                <w:b/>
                <w:color w:val="000000"/>
                <w:lang w:val="uk-UA"/>
              </w:rPr>
              <w:t>Прізвище, ім</w:t>
            </w:r>
            <w:r w:rsidRPr="00D81D4F">
              <w:rPr>
                <w:b/>
                <w:lang w:val="uk-UA"/>
              </w:rPr>
              <w:t>’</w:t>
            </w:r>
            <w:r w:rsidRPr="00D81D4F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81D4F">
              <w:rPr>
                <w:lang w:val="uk-UA"/>
              </w:rPr>
              <w:t>Павлюк Анна Дмитрівна</w:t>
            </w:r>
          </w:p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81D4F">
              <w:rPr>
                <w:lang w:val="uk-UA"/>
              </w:rPr>
              <w:t>тел. (0332) 729 381</w:t>
            </w:r>
          </w:p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81D4F">
              <w:rPr>
                <w:color w:val="000000"/>
                <w:lang w:val="uk-UA"/>
              </w:rPr>
              <w:t>HR@voldpss.gov.ua</w:t>
            </w:r>
          </w:p>
          <w:p w:rsidR="00187923" w:rsidRPr="00D81D4F" w:rsidRDefault="00187923" w:rsidP="00187923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187923" w:rsidRPr="00D81D4F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3" w:rsidRPr="00D81D4F" w:rsidRDefault="00187923" w:rsidP="0018792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81D4F" w:rsidRPr="00D81D4F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jc w:val="both"/>
              <w:rPr>
                <w:lang w:val="uk-UA"/>
              </w:rPr>
            </w:pPr>
            <w:r w:rsidRPr="00D81D4F">
              <w:rPr>
                <w:rStyle w:val="rvts0"/>
                <w:lang w:val="uk-UA"/>
              </w:rPr>
              <w:t xml:space="preserve">Вища освіта за освітнім ступенем не нижче магістра </w:t>
            </w:r>
            <w:r w:rsidRPr="00D81D4F">
              <w:rPr>
                <w:lang w:val="uk-UA"/>
              </w:rPr>
              <w:t>за напрямом підготовки або</w:t>
            </w:r>
            <w:r w:rsidRPr="00D81D4F">
              <w:rPr>
                <w:color w:val="FF0000"/>
                <w:lang w:val="uk-UA"/>
              </w:rPr>
              <w:t xml:space="preserve"> </w:t>
            </w:r>
            <w:r w:rsidRPr="00D81D4F">
              <w:rPr>
                <w:color w:val="000000"/>
                <w:lang w:val="uk-UA"/>
              </w:rPr>
              <w:t>«Медико - профілактична справа», або «Лікувальна справа», або «Санітарія, гігієна, епідеміологія»</w:t>
            </w:r>
          </w:p>
        </w:tc>
      </w:tr>
      <w:tr w:rsidR="00D81D4F" w:rsidRPr="00D81D4F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 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D81D4F" w:rsidRPr="00D81D4F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D81D4F">
              <w:rPr>
                <w:rStyle w:val="rvts0"/>
                <w:lang w:val="uk-UA"/>
              </w:rPr>
              <w:t>Вільне володіння державною мовою</w:t>
            </w:r>
          </w:p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81D4F" w:rsidRPr="00D81D4F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ab/>
            </w:r>
            <w:r w:rsidRPr="00D81D4F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81D4F" w:rsidRPr="00D81D4F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81D4F" w:rsidRPr="00D81D4F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D4F" w:rsidRPr="00D81D4F" w:rsidTr="008446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81D4F">
              <w:rPr>
                <w:rStyle w:val="rvts0"/>
                <w:lang w:val="uk-UA"/>
              </w:rPr>
              <w:t>Лідерство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навички управління та контролю;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лідерські якості;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організаторські здібності;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аналітичні здібності;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навички розв’язання проблем; </w:t>
            </w:r>
          </w:p>
          <w:p w:rsidR="00D81D4F" w:rsidRPr="00D81D4F" w:rsidRDefault="00D81D4F" w:rsidP="0084463F">
            <w:pPr>
              <w:jc w:val="both"/>
              <w:rPr>
                <w:rStyle w:val="rvts0"/>
                <w:lang w:val="uk-UA"/>
              </w:rPr>
            </w:pPr>
            <w:r w:rsidRPr="00D81D4F">
              <w:rPr>
                <w:lang w:val="uk-UA"/>
              </w:rPr>
              <w:t>- стратегічне мислення</w:t>
            </w:r>
          </w:p>
        </w:tc>
      </w:tr>
      <w:tr w:rsidR="00D81D4F" w:rsidRPr="00C00EBE" w:rsidTr="008446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81D4F">
              <w:rPr>
                <w:rStyle w:val="rvts0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здатність приймати вчасні та виважені рішення;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аналіз альтернатив;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спроможність іти на виважений ризик;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автономність та ініціативність щодо пропозицій і рішень</w:t>
            </w:r>
          </w:p>
        </w:tc>
      </w:tr>
      <w:tr w:rsidR="00D81D4F" w:rsidRPr="00D81D4F" w:rsidTr="008446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81D4F">
              <w:rPr>
                <w:rStyle w:val="rvts0"/>
                <w:lang w:val="uk-UA"/>
              </w:rPr>
              <w:t>Управління організацією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чітке бачення цілі;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ефективне управління ресурсами;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чітке планування реалізації;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ефективне формування та управління процесами</w:t>
            </w:r>
          </w:p>
        </w:tc>
      </w:tr>
      <w:tr w:rsidR="00D81D4F" w:rsidRPr="00D81D4F" w:rsidTr="008446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D81D4F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D81D4F" w:rsidRPr="00D81D4F" w:rsidRDefault="00D81D4F" w:rsidP="0084463F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81D4F" w:rsidRPr="00D81D4F" w:rsidRDefault="00D81D4F" w:rsidP="0084463F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D81D4F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D81D4F" w:rsidRPr="00D81D4F" w:rsidTr="008446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D81D4F" w:rsidRPr="00D81D4F" w:rsidRDefault="00D81D4F" w:rsidP="0084463F">
            <w:pPr>
              <w:jc w:val="both"/>
              <w:rPr>
                <w:lang w:val="uk-UA"/>
              </w:rPr>
            </w:pPr>
            <w:r w:rsidRPr="00D81D4F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D81D4F" w:rsidRPr="00D81D4F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81D4F" w:rsidRPr="00D81D4F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4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81D4F" w:rsidRPr="00D81D4F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D81D4F" w:rsidRPr="00D81D4F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1D4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jc w:val="both"/>
              <w:rPr>
                <w:szCs w:val="20"/>
                <w:lang w:val="uk-UA"/>
              </w:rPr>
            </w:pPr>
            <w:r w:rsidRPr="00D81D4F">
              <w:rPr>
                <w:szCs w:val="20"/>
                <w:lang w:val="uk-UA"/>
              </w:rPr>
              <w:t xml:space="preserve">Знання: </w:t>
            </w:r>
          </w:p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jc w:val="both"/>
              <w:rPr>
                <w:szCs w:val="20"/>
                <w:lang w:val="uk-UA"/>
              </w:rPr>
            </w:pPr>
            <w:r w:rsidRPr="00D81D4F">
              <w:rPr>
                <w:szCs w:val="20"/>
                <w:lang w:val="uk-UA"/>
              </w:rPr>
              <w:t xml:space="preserve">- Закону України «Про  основні засади державного нагляду (контролю) у сфері господарської діяльності»; </w:t>
            </w:r>
          </w:p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jc w:val="both"/>
              <w:rPr>
                <w:szCs w:val="20"/>
                <w:lang w:val="uk-UA"/>
              </w:rPr>
            </w:pPr>
            <w:r w:rsidRPr="00D81D4F">
              <w:rPr>
                <w:szCs w:val="20"/>
                <w:lang w:val="uk-UA"/>
              </w:rPr>
              <w:t>- Закону України «Про забезпечення санітарного та епідемічного благополуччя населення»;</w:t>
            </w:r>
          </w:p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jc w:val="both"/>
              <w:rPr>
                <w:szCs w:val="20"/>
                <w:lang w:val="uk-UA"/>
              </w:rPr>
            </w:pPr>
            <w:r w:rsidRPr="00D81D4F">
              <w:rPr>
                <w:szCs w:val="20"/>
                <w:lang w:val="uk-UA"/>
              </w:rPr>
              <w:t xml:space="preserve">- Кодексу України про адміністративні правопорушення; </w:t>
            </w:r>
          </w:p>
          <w:p w:rsidR="00D81D4F" w:rsidRPr="00D81D4F" w:rsidRDefault="00D81D4F" w:rsidP="00D81D4F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81D4F">
              <w:rPr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D81D4F" w:rsidRDefault="00823A62" w:rsidP="00D142B5">
      <w:pPr>
        <w:tabs>
          <w:tab w:val="left" w:pos="2760"/>
        </w:tabs>
        <w:rPr>
          <w:lang w:val="uk-UA"/>
        </w:rPr>
      </w:pPr>
    </w:p>
    <w:sectPr w:rsidR="00823A62" w:rsidRPr="00D81D4F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C4418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87923"/>
    <w:rsid w:val="0019061D"/>
    <w:rsid w:val="001C373B"/>
    <w:rsid w:val="001C79F6"/>
    <w:rsid w:val="001D1F65"/>
    <w:rsid w:val="001F56C4"/>
    <w:rsid w:val="001F61F0"/>
    <w:rsid w:val="00237DAE"/>
    <w:rsid w:val="00283C85"/>
    <w:rsid w:val="002919DE"/>
    <w:rsid w:val="002A3825"/>
    <w:rsid w:val="002B68AD"/>
    <w:rsid w:val="002C5B28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F6B62"/>
    <w:rsid w:val="00411A06"/>
    <w:rsid w:val="00414E07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3ACC"/>
    <w:rsid w:val="00576ED7"/>
    <w:rsid w:val="00591845"/>
    <w:rsid w:val="005A1D41"/>
    <w:rsid w:val="005A3A2E"/>
    <w:rsid w:val="005B1C4F"/>
    <w:rsid w:val="005B6DFE"/>
    <w:rsid w:val="005C61E8"/>
    <w:rsid w:val="005E342B"/>
    <w:rsid w:val="005F35E3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A684D"/>
    <w:rsid w:val="006C11A4"/>
    <w:rsid w:val="006C3A91"/>
    <w:rsid w:val="006E6AC3"/>
    <w:rsid w:val="006F7E4C"/>
    <w:rsid w:val="00705FA0"/>
    <w:rsid w:val="007413D4"/>
    <w:rsid w:val="00752831"/>
    <w:rsid w:val="00782340"/>
    <w:rsid w:val="007B04EB"/>
    <w:rsid w:val="007B0586"/>
    <w:rsid w:val="007C0A02"/>
    <w:rsid w:val="007C611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BE5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31C86"/>
    <w:rsid w:val="00A41BCB"/>
    <w:rsid w:val="00A41F2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00EBE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923F6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1D4F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C71AE"/>
    <w:rsid w:val="00FE4971"/>
    <w:rsid w:val="00FF315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74888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F887-67FB-40A6-B48B-1D12A0D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63</cp:revision>
  <cp:lastPrinted>2021-04-28T09:17:00Z</cp:lastPrinted>
  <dcterms:created xsi:type="dcterms:W3CDTF">2019-10-30T14:01:00Z</dcterms:created>
  <dcterms:modified xsi:type="dcterms:W3CDTF">2021-05-18T06:00:00Z</dcterms:modified>
</cp:coreProperties>
</file>