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E7" w:rsidRPr="00D25221" w:rsidRDefault="009B15E7" w:rsidP="00EA4702">
      <w:pPr>
        <w:ind w:firstLine="6096"/>
        <w:rPr>
          <w:sz w:val="22"/>
          <w:szCs w:val="28"/>
          <w:lang w:val="uk-UA"/>
        </w:rPr>
      </w:pPr>
      <w:r w:rsidRPr="00D25221">
        <w:rPr>
          <w:sz w:val="22"/>
          <w:szCs w:val="28"/>
          <w:lang w:val="uk-UA"/>
        </w:rPr>
        <w:t>ЗАТВЕРДЖЕНО</w:t>
      </w:r>
    </w:p>
    <w:p w:rsidR="009B15E7" w:rsidRPr="00D25221" w:rsidRDefault="00D25221" w:rsidP="00EA470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</w:t>
      </w:r>
      <w:r w:rsidR="009B15E7" w:rsidRPr="00D25221">
        <w:rPr>
          <w:sz w:val="22"/>
          <w:szCs w:val="28"/>
          <w:lang w:val="uk-UA"/>
        </w:rPr>
        <w:t>аказ Головного управління</w:t>
      </w:r>
    </w:p>
    <w:p w:rsidR="009B15E7" w:rsidRPr="00D25221" w:rsidRDefault="009B15E7" w:rsidP="00EA4702">
      <w:pPr>
        <w:ind w:firstLine="6096"/>
        <w:rPr>
          <w:sz w:val="22"/>
          <w:szCs w:val="28"/>
          <w:lang w:val="uk-UA"/>
        </w:rPr>
      </w:pPr>
      <w:r w:rsidRPr="00D25221">
        <w:rPr>
          <w:sz w:val="22"/>
          <w:szCs w:val="28"/>
          <w:lang w:val="uk-UA"/>
        </w:rPr>
        <w:t>Держпродспоживслужби</w:t>
      </w:r>
    </w:p>
    <w:p w:rsidR="009B15E7" w:rsidRPr="00D25221" w:rsidRDefault="00E11AE7" w:rsidP="00EA4702">
      <w:pPr>
        <w:ind w:firstLine="6096"/>
        <w:rPr>
          <w:sz w:val="22"/>
          <w:szCs w:val="28"/>
          <w:lang w:val="uk-UA"/>
        </w:rPr>
      </w:pPr>
      <w:r w:rsidRPr="00D25221">
        <w:rPr>
          <w:sz w:val="22"/>
          <w:szCs w:val="28"/>
          <w:lang w:val="uk-UA"/>
        </w:rPr>
        <w:t xml:space="preserve">у </w:t>
      </w:r>
      <w:r w:rsidR="009B15E7" w:rsidRPr="00D25221">
        <w:rPr>
          <w:sz w:val="22"/>
          <w:szCs w:val="28"/>
          <w:lang w:val="uk-UA"/>
        </w:rPr>
        <w:t xml:space="preserve">Волинській області </w:t>
      </w:r>
    </w:p>
    <w:p w:rsidR="009B15E7" w:rsidRPr="00D25221" w:rsidRDefault="009F64F6" w:rsidP="00EA4702">
      <w:pPr>
        <w:ind w:firstLine="6096"/>
        <w:rPr>
          <w:sz w:val="22"/>
          <w:szCs w:val="28"/>
          <w:lang w:val="uk-UA"/>
        </w:rPr>
      </w:pPr>
      <w:r w:rsidRPr="00D25221">
        <w:rPr>
          <w:sz w:val="22"/>
          <w:szCs w:val="28"/>
          <w:lang w:val="uk-UA"/>
        </w:rPr>
        <w:t>від 2</w:t>
      </w:r>
      <w:r w:rsidR="00CE6F95" w:rsidRPr="00D25221">
        <w:rPr>
          <w:sz w:val="22"/>
          <w:szCs w:val="28"/>
          <w:lang w:val="uk-UA"/>
        </w:rPr>
        <w:t>3</w:t>
      </w:r>
      <w:r w:rsidR="009B15E7" w:rsidRPr="00D25221">
        <w:rPr>
          <w:sz w:val="22"/>
          <w:szCs w:val="28"/>
          <w:lang w:val="uk-UA"/>
        </w:rPr>
        <w:t xml:space="preserve"> </w:t>
      </w:r>
      <w:r w:rsidR="00D25221" w:rsidRPr="00D25221">
        <w:rPr>
          <w:sz w:val="22"/>
          <w:szCs w:val="28"/>
          <w:lang w:val="uk-UA"/>
        </w:rPr>
        <w:t>лютого</w:t>
      </w:r>
      <w:r w:rsidR="009B15E7" w:rsidRPr="00D25221">
        <w:rPr>
          <w:sz w:val="22"/>
          <w:szCs w:val="28"/>
          <w:lang w:val="uk-UA"/>
        </w:rPr>
        <w:t xml:space="preserve"> 201</w:t>
      </w:r>
      <w:r w:rsidR="00D667D1" w:rsidRPr="00D25221">
        <w:rPr>
          <w:sz w:val="22"/>
          <w:szCs w:val="28"/>
          <w:lang w:val="uk-UA"/>
        </w:rPr>
        <w:t>8</w:t>
      </w:r>
      <w:r w:rsidR="009B15E7" w:rsidRPr="00D25221">
        <w:rPr>
          <w:sz w:val="22"/>
          <w:szCs w:val="28"/>
          <w:lang w:val="uk-UA"/>
        </w:rPr>
        <w:t xml:space="preserve"> року </w:t>
      </w:r>
      <w:r w:rsidR="009B15E7" w:rsidRPr="00C401A7">
        <w:rPr>
          <w:sz w:val="22"/>
          <w:szCs w:val="28"/>
          <w:lang w:val="uk-UA"/>
        </w:rPr>
        <w:t xml:space="preserve">№ </w:t>
      </w:r>
      <w:r w:rsidR="00C401A7" w:rsidRPr="00C401A7">
        <w:rPr>
          <w:sz w:val="22"/>
          <w:szCs w:val="28"/>
          <w:lang w:val="uk-UA"/>
        </w:rPr>
        <w:t>46</w:t>
      </w:r>
      <w:r w:rsidR="009B15E7" w:rsidRPr="00C401A7">
        <w:rPr>
          <w:sz w:val="22"/>
          <w:szCs w:val="28"/>
          <w:lang w:val="uk-UA"/>
        </w:rPr>
        <w:t xml:space="preserve"> – од</w:t>
      </w:r>
    </w:p>
    <w:p w:rsidR="00E11AE7" w:rsidRDefault="00E11AE7" w:rsidP="009B15E7">
      <w:pPr>
        <w:jc w:val="right"/>
        <w:rPr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1126FA">
        <w:rPr>
          <w:b/>
          <w:lang w:val="uk-UA"/>
        </w:rPr>
        <w:t>Б</w:t>
      </w:r>
      <w:r w:rsidRPr="00661B9B">
        <w:rPr>
          <w:b/>
          <w:lang w:val="uk-UA"/>
        </w:rPr>
        <w:t>» –</w:t>
      </w:r>
    </w:p>
    <w:p w:rsidR="004E4715" w:rsidRDefault="00A3414A" w:rsidP="004E4715">
      <w:pPr>
        <w:jc w:val="center"/>
        <w:rPr>
          <w:b/>
          <w:lang w:val="uk-UA"/>
        </w:rPr>
      </w:pPr>
      <w:r>
        <w:rPr>
          <w:b/>
          <w:lang w:val="uk-UA"/>
        </w:rPr>
        <w:t>начальника</w:t>
      </w:r>
      <w:r w:rsidR="009F2E0F">
        <w:rPr>
          <w:b/>
          <w:lang w:val="uk-UA"/>
        </w:rPr>
        <w:t xml:space="preserve"> Ківерцівського районного управління </w:t>
      </w:r>
      <w:r w:rsidR="001126FA">
        <w:rPr>
          <w:b/>
          <w:lang w:val="uk-UA"/>
        </w:rPr>
        <w:t>Головного управління Держпродспоживслужби</w:t>
      </w:r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</w:p>
    <w:p w:rsidR="00B627FF" w:rsidRPr="00661B9B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6" w:rsidRDefault="00373F79" w:rsidP="007E335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07476F" w:rsidRPr="0007476F">
              <w:rPr>
                <w:sz w:val="22"/>
                <w:lang w:val="uk-UA"/>
              </w:rPr>
              <w:t xml:space="preserve">В межах компетенції та повноважень здійснює організаційно-методичне керівництво роботою управління на території м. </w:t>
            </w:r>
            <w:proofErr w:type="spellStart"/>
            <w:r w:rsidR="0007476F" w:rsidRPr="0007476F">
              <w:rPr>
                <w:sz w:val="22"/>
                <w:lang w:val="uk-UA"/>
              </w:rPr>
              <w:t>Ківерці</w:t>
            </w:r>
            <w:proofErr w:type="spellEnd"/>
            <w:r w:rsidR="0007476F" w:rsidRPr="0007476F">
              <w:rPr>
                <w:sz w:val="22"/>
                <w:lang w:val="uk-UA"/>
              </w:rPr>
              <w:t xml:space="preserve"> та Ківерцівського району</w:t>
            </w:r>
            <w:r w:rsidR="0007476F">
              <w:rPr>
                <w:sz w:val="22"/>
                <w:lang w:val="uk-UA"/>
              </w:rPr>
              <w:t>.</w:t>
            </w:r>
            <w:r w:rsidR="0007476F" w:rsidRPr="0007476F">
              <w:rPr>
                <w:sz w:val="22"/>
                <w:lang w:val="uk-UA"/>
              </w:rPr>
              <w:t xml:space="preserve"> </w:t>
            </w:r>
            <w:r w:rsidRPr="00373F79">
              <w:rPr>
                <w:sz w:val="22"/>
                <w:lang w:val="uk-UA"/>
              </w:rPr>
              <w:t>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</w:t>
            </w:r>
            <w:r w:rsidR="007E3356">
              <w:rPr>
                <w:sz w:val="22"/>
                <w:lang w:val="uk-UA"/>
              </w:rPr>
              <w:t>,</w:t>
            </w:r>
            <w:r w:rsidR="007E3356" w:rsidRPr="007E3356">
              <w:rPr>
                <w:sz w:val="22"/>
                <w:lang w:val="uk-UA"/>
              </w:rPr>
              <w:t xml:space="preserve"> за дотриманням санітарного законодавства</w:t>
            </w:r>
            <w:r w:rsidR="0007476F">
              <w:rPr>
                <w:sz w:val="22"/>
                <w:lang w:val="uk-UA"/>
              </w:rPr>
              <w:t>.</w:t>
            </w:r>
          </w:p>
          <w:p w:rsid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</w:t>
            </w:r>
            <w:r w:rsidR="0007476F">
              <w:rPr>
                <w:sz w:val="22"/>
                <w:lang w:val="uk-UA"/>
              </w:rPr>
              <w:t>Забезпечує</w:t>
            </w:r>
            <w:r w:rsidRPr="00373F79">
              <w:rPr>
                <w:sz w:val="22"/>
                <w:lang w:val="uk-UA"/>
              </w:rPr>
              <w:t xml:space="preserve">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>
              <w:rPr>
                <w:sz w:val="22"/>
                <w:lang w:val="uk-UA"/>
              </w:rPr>
              <w:t>ристовуються для їх виробництва,</w:t>
            </w:r>
            <w:r w:rsidRPr="00373F79">
              <w:rPr>
                <w:sz w:val="22"/>
                <w:lang w:val="uk-UA"/>
              </w:rPr>
              <w:t xml:space="preserve"> </w:t>
            </w:r>
            <w:r w:rsidR="000D4F28">
              <w:rPr>
                <w:sz w:val="22"/>
                <w:lang w:val="uk-UA"/>
              </w:rPr>
              <w:t>п</w:t>
            </w:r>
            <w:r w:rsidRPr="00373F79">
              <w:rPr>
                <w:sz w:val="22"/>
                <w:lang w:val="uk-UA"/>
              </w:rPr>
              <w:t>ереробки, зберігання та обігу.</w:t>
            </w:r>
          </w:p>
          <w:p w:rsidR="00D667D1" w:rsidRPr="00373F79" w:rsidRDefault="00D667D1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Pr="00D667D1">
              <w:rPr>
                <w:sz w:val="22"/>
                <w:lang w:val="uk-UA"/>
              </w:rPr>
              <w:t>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та вживає заходів до їх усунення відповідно до законодавства.</w:t>
            </w:r>
          </w:p>
          <w:p w:rsid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Здійснює контроль</w:t>
            </w:r>
            <w:r w:rsidR="003E5E19">
              <w:rPr>
                <w:sz w:val="22"/>
                <w:lang w:val="uk-UA"/>
              </w:rPr>
              <w:t xml:space="preserve"> щодо</w:t>
            </w:r>
            <w:bookmarkStart w:id="0" w:name="_GoBack"/>
            <w:bookmarkEnd w:id="0"/>
            <w:r w:rsidRPr="00373F79">
              <w:rPr>
                <w:sz w:val="22"/>
                <w:lang w:val="uk-UA"/>
              </w:rPr>
              <w:t xml:space="preserve"> порядку видачі документів дозвільного характеру в межах своєї компетенції.</w:t>
            </w:r>
          </w:p>
          <w:p w:rsidR="007E3356" w:rsidRPr="007E3356" w:rsidRDefault="007E3356" w:rsidP="007E335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Pr="007E3356">
              <w:rPr>
                <w:sz w:val="22"/>
                <w:lang w:val="uk-UA"/>
              </w:rPr>
              <w:t>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Default="00F0225D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73F79">
              <w:rPr>
                <w:sz w:val="22"/>
                <w:lang w:val="uk-UA"/>
              </w:rPr>
              <w:t xml:space="preserve"> </w:t>
            </w:r>
            <w:r w:rsidR="0007476F">
              <w:rPr>
                <w:sz w:val="22"/>
                <w:lang w:val="uk-UA"/>
              </w:rPr>
              <w:t>Забезпечує</w:t>
            </w:r>
            <w:r w:rsidR="00373F79" w:rsidRPr="00373F79">
              <w:rPr>
                <w:sz w:val="22"/>
                <w:lang w:val="uk-UA"/>
              </w:rPr>
              <w:t xml:space="preserve"> проведення спеціалістами </w:t>
            </w:r>
            <w:r w:rsidR="007E3356">
              <w:rPr>
                <w:sz w:val="22"/>
                <w:lang w:val="uk-UA"/>
              </w:rPr>
              <w:t>управління</w:t>
            </w:r>
            <w:r w:rsidR="00373F79" w:rsidRPr="00373F79">
              <w:rPr>
                <w:sz w:val="22"/>
                <w:lang w:val="uk-UA"/>
              </w:rPr>
              <w:t xml:space="preserve"> перевірок суб’єктів господарської діяльності незалежно від форми власності згідно з чинним законодавством у межах повноважень </w:t>
            </w:r>
            <w:r w:rsidR="007E3356">
              <w:rPr>
                <w:sz w:val="22"/>
                <w:lang w:val="uk-UA"/>
              </w:rPr>
              <w:t>управління</w:t>
            </w:r>
            <w:r w:rsidR="0007476F">
              <w:rPr>
                <w:sz w:val="22"/>
                <w:lang w:val="uk-UA"/>
              </w:rPr>
              <w:t>,</w:t>
            </w:r>
            <w:r w:rsidR="00373F79" w:rsidRPr="00373F79">
              <w:rPr>
                <w:sz w:val="22"/>
                <w:lang w:val="uk-UA"/>
              </w:rPr>
              <w:t xml:space="preserve"> </w:t>
            </w:r>
            <w:r w:rsidR="0007476F">
              <w:rPr>
                <w:sz w:val="22"/>
                <w:lang w:val="uk-UA"/>
              </w:rPr>
              <w:t>р</w:t>
            </w:r>
            <w:r w:rsidR="00373F79" w:rsidRPr="00373F79">
              <w:rPr>
                <w:sz w:val="22"/>
                <w:lang w:val="uk-UA"/>
              </w:rPr>
              <w:t>озгляд результатів цих перевірок та вжиття відповідних заходів до порушників законодавства.</w:t>
            </w:r>
          </w:p>
          <w:p w:rsidR="009F64F6" w:rsidRPr="009F64F6" w:rsidRDefault="00373F79" w:rsidP="009F64F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9F64F6">
              <w:rPr>
                <w:sz w:val="22"/>
                <w:lang w:val="uk-UA"/>
              </w:rPr>
              <w:t xml:space="preserve"> З</w:t>
            </w:r>
            <w:r w:rsidR="009F64F6" w:rsidRPr="009F64F6">
              <w:rPr>
                <w:sz w:val="22"/>
                <w:lang w:val="uk-UA"/>
              </w:rPr>
              <w:t>дійснює державний нагляд (контроль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A96CDC" w:rsidRPr="00A96CDC" w:rsidRDefault="00F0225D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73F79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BB4891" w:rsidRDefault="00123762" w:rsidP="0012376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F0225D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доступ до публічної інформаці</w:t>
            </w:r>
            <w:r w:rsidR="00A96CDC">
              <w:rPr>
                <w:sz w:val="22"/>
                <w:lang w:val="uk-UA"/>
              </w:rPr>
              <w:t>ї, що перебуває у його компетенції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D667D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36266B">
              <w:rPr>
                <w:sz w:val="22"/>
                <w:szCs w:val="22"/>
                <w:lang w:val="uk-UA"/>
              </w:rPr>
              <w:t>55</w:t>
            </w:r>
            <w:r w:rsidR="00A96CDC">
              <w:rPr>
                <w:sz w:val="22"/>
                <w:szCs w:val="22"/>
                <w:lang w:val="uk-UA"/>
              </w:rPr>
              <w:t>00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1B299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1B299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1B299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1B299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1B299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1B2997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1B299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1B2997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1B2997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 w:rsidRPr="001B29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1B2997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1B2997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1B2997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1B2997" w:rsidRDefault="00A96CDC" w:rsidP="001B2997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Термін подання документів: до 1</w:t>
            </w:r>
            <w:r w:rsidR="009F2E0F"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  <w:r w:rsidR="0072776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 w:rsidR="009F2E0F"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9F2E0F"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</w:t>
            </w:r>
            <w:r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1B2997"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</w:t>
            </w:r>
            <w:r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201</w:t>
            </w:r>
            <w:r w:rsidR="009F2E0F"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  <w:r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1B299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1B2997" w:rsidRDefault="001B2997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B2997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6E6AC3" w:rsidRPr="001B29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B2997">
              <w:rPr>
                <w:rFonts w:ascii="Times New Roman" w:hAnsi="Times New Roman"/>
                <w:b/>
                <w:sz w:val="22"/>
                <w:szCs w:val="22"/>
              </w:rPr>
              <w:t>березня</w:t>
            </w:r>
            <w:r w:rsidR="00E7199B" w:rsidRPr="001B2997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9F2E0F" w:rsidRPr="001B299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1B2997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1B2997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1B299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1B299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1B2997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1B2997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997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1B2997">
              <w:rPr>
                <w:rFonts w:ascii="Times New Roman" w:hAnsi="Times New Roman"/>
                <w:sz w:val="22"/>
                <w:szCs w:val="22"/>
              </w:rPr>
              <w:t>430</w:t>
            </w:r>
            <w:r w:rsidRPr="001B2997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1B2997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1B2997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1B299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B2997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1B29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061EBC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677C6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м</w:t>
            </w:r>
            <w:r w:rsidR="001126F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>
              <w:rPr>
                <w:sz w:val="22"/>
                <w:szCs w:val="22"/>
                <w:lang w:val="uk-UA"/>
              </w:rPr>
              <w:t xml:space="preserve"> або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1126FA">
              <w:rPr>
                <w:color w:val="000000"/>
                <w:sz w:val="22"/>
                <w:lang w:val="uk-UA"/>
              </w:rPr>
              <w:t>«</w:t>
            </w:r>
            <w:r w:rsidR="00677C6B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1126FA">
              <w:rPr>
                <w:color w:val="000000"/>
                <w:sz w:val="22"/>
                <w:lang w:val="uk-UA"/>
              </w:rPr>
              <w:t>»,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</w:t>
            </w:r>
            <w:r w:rsidR="00677C6B">
              <w:rPr>
                <w:color w:val="000000"/>
                <w:sz w:val="22"/>
                <w:lang w:val="uk-UA"/>
              </w:rPr>
              <w:t>Ветеринарія</w:t>
            </w:r>
            <w:r w:rsidR="001126FA" w:rsidRPr="001126FA">
              <w:rPr>
                <w:color w:val="000000"/>
                <w:sz w:val="22"/>
                <w:lang w:val="uk-UA"/>
              </w:rPr>
              <w:t>»,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</w:t>
            </w:r>
            <w:r w:rsidR="00677C6B">
              <w:rPr>
                <w:color w:val="000000"/>
                <w:sz w:val="22"/>
                <w:lang w:val="uk-UA"/>
              </w:rPr>
              <w:t>Медико – профілактична справа</w:t>
            </w:r>
            <w:r w:rsidR="001126FA" w:rsidRPr="001126FA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26F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>
              <w:rPr>
                <w:sz w:val="22"/>
                <w:szCs w:val="22"/>
                <w:lang w:val="uk-UA"/>
              </w:rPr>
              <w:t>,</w:t>
            </w:r>
            <w:r w:rsidRPr="001126F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  <w:p w:rsidR="00B326D9" w:rsidRPr="009C0E00" w:rsidRDefault="00B326D9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14F96" w:rsidP="00514F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="005F437E"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 компетентн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Лідерство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</w:t>
            </w:r>
            <w:r w:rsidR="00020D92">
              <w:rPr>
                <w:rFonts w:ascii="Times New Roman" w:hAnsi="Times New Roman"/>
                <w:sz w:val="22"/>
                <w:szCs w:val="22"/>
              </w:rPr>
              <w:t>я обґрунтовувати власну позицію.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осягнення кінцевих результатів.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вирішувати комплексні завдання.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з великими масивами інформації.</w:t>
            </w:r>
          </w:p>
          <w:p w:rsidR="00040B37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встановлювати цілі, пріоритети та орієнтири.</w:t>
            </w:r>
          </w:p>
          <w:p w:rsidR="00040B37" w:rsidRPr="001064DE" w:rsidRDefault="000D4F28" w:rsidP="000D4F28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Інноваційне мислення.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Управління організацією роботи та персоналом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організовуват</w:t>
            </w:r>
            <w:r w:rsidR="00020D92">
              <w:rPr>
                <w:rFonts w:ascii="Times New Roman" w:hAnsi="Times New Roman"/>
                <w:sz w:val="22"/>
                <w:szCs w:val="22"/>
              </w:rPr>
              <w:t>и роботу і здійснювати контроль.</w:t>
            </w:r>
          </w:p>
          <w:p w:rsidR="00040B37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 в команді та керувати командою.</w:t>
            </w:r>
          </w:p>
          <w:p w:rsidR="00727763" w:rsidRPr="001064DE" w:rsidRDefault="00727763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F0225D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D1BCF" w:rsidRDefault="00477B05" w:rsidP="009F2E0F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477B05">
              <w:rPr>
                <w:sz w:val="22"/>
                <w:szCs w:val="20"/>
                <w:lang w:val="uk-UA"/>
              </w:rPr>
              <w:t>Знання Закону України «Про основні принципи та вимоги до безпечності та якості харчових продуктів», Закону України “Про основні засади державного нагляду (контролю) у сфері господарської діяльності”, Закону України «Про ветерина</w:t>
            </w:r>
            <w:r w:rsidR="000D4F28">
              <w:rPr>
                <w:sz w:val="22"/>
                <w:szCs w:val="20"/>
                <w:lang w:val="uk-UA"/>
              </w:rPr>
              <w:t>рну медицину», Закону України «Про вилучення з обігу, переробку, утилізацію, знищення або подальше використання неякісної та небезпечної продукції», Закону України «Про внесення змін до деяких законодавчих актів України щодо харчових продуктів»</w:t>
            </w:r>
            <w:r w:rsidR="009F2E0F">
              <w:rPr>
                <w:sz w:val="22"/>
                <w:szCs w:val="20"/>
                <w:lang w:val="uk-UA"/>
              </w:rPr>
              <w:t xml:space="preserve"> </w:t>
            </w:r>
            <w:r w:rsidR="000E752F">
              <w:rPr>
                <w:sz w:val="22"/>
                <w:szCs w:val="20"/>
                <w:lang w:val="uk-UA"/>
              </w:rPr>
              <w:t xml:space="preserve">Закону України </w:t>
            </w:r>
            <w:r w:rsidR="009F2E0F" w:rsidRPr="009F2E0F">
              <w:rPr>
                <w:sz w:val="22"/>
                <w:szCs w:val="20"/>
                <w:lang w:val="uk-UA"/>
              </w:rPr>
              <w:t xml:space="preserve">«Про забезпечення санітарного та епідеміологічного благополуччя населення», </w:t>
            </w:r>
            <w:r w:rsidR="000E752F">
              <w:rPr>
                <w:sz w:val="22"/>
                <w:szCs w:val="20"/>
                <w:lang w:val="uk-UA"/>
              </w:rPr>
              <w:t xml:space="preserve">Закону України </w:t>
            </w:r>
            <w:r w:rsidR="009F2E0F" w:rsidRPr="009F2E0F">
              <w:rPr>
                <w:sz w:val="22"/>
                <w:szCs w:val="20"/>
                <w:lang w:val="uk-UA"/>
              </w:rPr>
              <w:t xml:space="preserve">«Про захист населення від інфекційних хвороб», </w:t>
            </w:r>
            <w:r w:rsidR="000E752F">
              <w:rPr>
                <w:sz w:val="22"/>
                <w:szCs w:val="20"/>
                <w:lang w:val="uk-UA"/>
              </w:rPr>
              <w:t xml:space="preserve">Закону України </w:t>
            </w:r>
            <w:r w:rsidR="009F2E0F" w:rsidRPr="009F2E0F">
              <w:rPr>
                <w:sz w:val="22"/>
                <w:szCs w:val="20"/>
                <w:lang w:val="uk-UA"/>
              </w:rPr>
              <w:t xml:space="preserve">«Про ідентифікацію та реєстрацію тварин», </w:t>
            </w:r>
            <w:r w:rsidR="000E752F">
              <w:rPr>
                <w:sz w:val="22"/>
                <w:szCs w:val="20"/>
                <w:lang w:val="uk-UA"/>
              </w:rPr>
              <w:t xml:space="preserve">Закону України </w:t>
            </w:r>
            <w:r w:rsidR="009F2E0F" w:rsidRPr="009F2E0F">
              <w:rPr>
                <w:sz w:val="22"/>
                <w:szCs w:val="20"/>
                <w:lang w:val="uk-UA"/>
              </w:rPr>
              <w:t xml:space="preserve">«Про племінну справу у тваринництві», </w:t>
            </w:r>
            <w:r w:rsidR="000E752F">
              <w:rPr>
                <w:sz w:val="22"/>
                <w:szCs w:val="20"/>
                <w:lang w:val="uk-UA"/>
              </w:rPr>
              <w:t xml:space="preserve">Закону України </w:t>
            </w:r>
            <w:r w:rsidR="009F2E0F" w:rsidRPr="009F2E0F">
              <w:rPr>
                <w:sz w:val="22"/>
                <w:szCs w:val="20"/>
                <w:lang w:val="uk-UA"/>
              </w:rPr>
              <w:t xml:space="preserve">«Про звернення громадян», </w:t>
            </w:r>
            <w:r w:rsidR="000E752F">
              <w:rPr>
                <w:sz w:val="22"/>
                <w:szCs w:val="20"/>
                <w:lang w:val="uk-UA"/>
              </w:rPr>
              <w:t xml:space="preserve">Закону України </w:t>
            </w:r>
            <w:r w:rsidR="009F2E0F" w:rsidRPr="009F2E0F">
              <w:rPr>
                <w:sz w:val="22"/>
                <w:szCs w:val="20"/>
                <w:lang w:val="uk-UA"/>
              </w:rPr>
              <w:t>«Про доступ до публічної інформації», Кодекс України про адміністративні правопорушення та інші законодавчі та нормативно-правові акти.</w:t>
            </w:r>
            <w:r w:rsidR="000D4F28">
              <w:rPr>
                <w:sz w:val="22"/>
                <w:szCs w:val="20"/>
                <w:lang w:val="uk-UA"/>
              </w:rPr>
              <w:t xml:space="preserve"> 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199B"/>
    <w:rsid w:val="00020D92"/>
    <w:rsid w:val="00040B37"/>
    <w:rsid w:val="00043AFF"/>
    <w:rsid w:val="00051736"/>
    <w:rsid w:val="00054B9C"/>
    <w:rsid w:val="00061EBC"/>
    <w:rsid w:val="0007476F"/>
    <w:rsid w:val="0007643A"/>
    <w:rsid w:val="000938E6"/>
    <w:rsid w:val="000B7682"/>
    <w:rsid w:val="000D4F28"/>
    <w:rsid w:val="000D6D17"/>
    <w:rsid w:val="000E752F"/>
    <w:rsid w:val="001126FA"/>
    <w:rsid w:val="00123762"/>
    <w:rsid w:val="00125F9E"/>
    <w:rsid w:val="00157BE1"/>
    <w:rsid w:val="001B2997"/>
    <w:rsid w:val="001B2E1D"/>
    <w:rsid w:val="001C373B"/>
    <w:rsid w:val="001C79F6"/>
    <w:rsid w:val="002C5B28"/>
    <w:rsid w:val="002E6068"/>
    <w:rsid w:val="0036266B"/>
    <w:rsid w:val="003636E8"/>
    <w:rsid w:val="00373F79"/>
    <w:rsid w:val="003C3941"/>
    <w:rsid w:val="003D11FD"/>
    <w:rsid w:val="003E5E19"/>
    <w:rsid w:val="003E6309"/>
    <w:rsid w:val="004435F5"/>
    <w:rsid w:val="00475FDB"/>
    <w:rsid w:val="00477B05"/>
    <w:rsid w:val="00482302"/>
    <w:rsid w:val="004A0151"/>
    <w:rsid w:val="004A398A"/>
    <w:rsid w:val="004A74E4"/>
    <w:rsid w:val="004B3352"/>
    <w:rsid w:val="004E4715"/>
    <w:rsid w:val="004F5199"/>
    <w:rsid w:val="00514F96"/>
    <w:rsid w:val="0055012C"/>
    <w:rsid w:val="00576ED7"/>
    <w:rsid w:val="005B1C4F"/>
    <w:rsid w:val="005F437E"/>
    <w:rsid w:val="006347E8"/>
    <w:rsid w:val="00661B9B"/>
    <w:rsid w:val="00677C6B"/>
    <w:rsid w:val="00680DF1"/>
    <w:rsid w:val="006C2B6D"/>
    <w:rsid w:val="006E6AC3"/>
    <w:rsid w:val="006F0209"/>
    <w:rsid w:val="007037AE"/>
    <w:rsid w:val="00722815"/>
    <w:rsid w:val="00727763"/>
    <w:rsid w:val="007B04EB"/>
    <w:rsid w:val="007D60DB"/>
    <w:rsid w:val="007E3356"/>
    <w:rsid w:val="00823A62"/>
    <w:rsid w:val="00824E4C"/>
    <w:rsid w:val="008767A4"/>
    <w:rsid w:val="00893A88"/>
    <w:rsid w:val="00896A5A"/>
    <w:rsid w:val="008D23FE"/>
    <w:rsid w:val="008E614E"/>
    <w:rsid w:val="00936244"/>
    <w:rsid w:val="0095392A"/>
    <w:rsid w:val="009646F6"/>
    <w:rsid w:val="0097629E"/>
    <w:rsid w:val="009962E2"/>
    <w:rsid w:val="009A4532"/>
    <w:rsid w:val="009B15E7"/>
    <w:rsid w:val="009C0E00"/>
    <w:rsid w:val="009C4C5C"/>
    <w:rsid w:val="009F2E0F"/>
    <w:rsid w:val="009F64F6"/>
    <w:rsid w:val="00A3414A"/>
    <w:rsid w:val="00A567C9"/>
    <w:rsid w:val="00A56D9B"/>
    <w:rsid w:val="00A9577F"/>
    <w:rsid w:val="00A96CDC"/>
    <w:rsid w:val="00B326D9"/>
    <w:rsid w:val="00B45816"/>
    <w:rsid w:val="00B627FF"/>
    <w:rsid w:val="00BD522C"/>
    <w:rsid w:val="00C11CF9"/>
    <w:rsid w:val="00C401A7"/>
    <w:rsid w:val="00C6643D"/>
    <w:rsid w:val="00CA0A86"/>
    <w:rsid w:val="00CA3619"/>
    <w:rsid w:val="00CE6F95"/>
    <w:rsid w:val="00D01051"/>
    <w:rsid w:val="00D16E76"/>
    <w:rsid w:val="00D25221"/>
    <w:rsid w:val="00D270E7"/>
    <w:rsid w:val="00D42D2A"/>
    <w:rsid w:val="00D557DA"/>
    <w:rsid w:val="00D55E7B"/>
    <w:rsid w:val="00D667D1"/>
    <w:rsid w:val="00D72312"/>
    <w:rsid w:val="00D8280B"/>
    <w:rsid w:val="00DA134F"/>
    <w:rsid w:val="00DE42C7"/>
    <w:rsid w:val="00DF7A0E"/>
    <w:rsid w:val="00E05800"/>
    <w:rsid w:val="00E11AE7"/>
    <w:rsid w:val="00E22BAC"/>
    <w:rsid w:val="00E7199B"/>
    <w:rsid w:val="00E92CD5"/>
    <w:rsid w:val="00E979F6"/>
    <w:rsid w:val="00EA4702"/>
    <w:rsid w:val="00EE221C"/>
    <w:rsid w:val="00EE6375"/>
    <w:rsid w:val="00F0225D"/>
    <w:rsid w:val="00FC3CF6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2BE6-2163-43F0-8A98-40B2AAD8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Lawyer</cp:lastModifiedBy>
  <cp:revision>13</cp:revision>
  <cp:lastPrinted>2018-01-22T10:01:00Z</cp:lastPrinted>
  <dcterms:created xsi:type="dcterms:W3CDTF">2018-01-19T08:54:00Z</dcterms:created>
  <dcterms:modified xsi:type="dcterms:W3CDTF">2018-02-23T08:16:00Z</dcterms:modified>
</cp:coreProperties>
</file>